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电凝电切仪技术参数</w:t>
      </w:r>
      <w:bookmarkStart w:id="0" w:name="_GoBack"/>
      <w:bookmarkEnd w:id="0"/>
    </w:p>
    <w:p>
      <w:pPr>
        <w:rPr>
          <w:rFonts w:hint="eastAsia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要求具备内窥镜切割模式，具备5档调节，电切持续时间逐位递增；具有单极和双极附件处理组织切割和凝血，要求功率连续可调；输出功率2300W，有喷凝及强凝模式，适用不同止血需求；输入功率小于等于1000VA；具备防除颤器，可用于心脏类手术，可防除颤器放电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纯切性能：1～300W，混切性能：1～250W，要求功率连续可调；单极凝性能：1～120W，功率连续可调，最大输出电压≥4800V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双极性能：1～150W,要求功率连续可调；电切模式具备混切，边切边止血；电凝模式具备柔凝、强凝、喷凝等模式；喷凝工作模式调制频率12-24KHz可调，喷凝和强凝工作模式峰值系数≥6.0。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MGU5OWVjOGUxNDYyMjUwODdjNjQyYzBhNmFlMmYifQ=="/>
  </w:docVars>
  <w:rsids>
    <w:rsidRoot w:val="00000000"/>
    <w:rsid w:val="3BA437EF"/>
    <w:rsid w:val="4E231647"/>
    <w:rsid w:val="762F6828"/>
    <w:rsid w:val="7FD0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311</Characters>
  <Lines>0</Lines>
  <Paragraphs>0</Paragraphs>
  <TotalTime>5</TotalTime>
  <ScaleCrop>false</ScaleCrop>
  <LinksUpToDate>false</LinksUpToDate>
  <CharactersWithSpaces>311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2023-10-11T02:53:00Z</dcterms:created>
  <dc:creator>lenovo</dc:creator>
  <cp:lastModifiedBy>Lenovo</cp:lastModifiedBy>
  <dcterms:modified xsi:type="dcterms:W3CDTF">2023-10-11T06:43:00Z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  <property fmtid="{D5CDD505-2E9C-101B-9397-08002B2CF9AE}" pid="3" name="ICV">
    <vt:lpwstr>AD2905CC6D3D4F2AA5FBC7D72BA61607_12</vt:lpwstr>
  </property>
</Properties>
</file>